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highlight w:val="none"/>
          <w:lang w:val="en-US" w:eastAsia="zh-CN"/>
        </w:rPr>
      </w:pPr>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b/>
          <w:sz w:val="24"/>
          <w:highlight w:val="none"/>
        </w:rPr>
        <w:t>RP-22</w:t>
      </w:r>
      <w:r>
        <w:rPr>
          <w:rFonts w:hint="eastAsia"/>
          <w:b/>
          <w:sz w:val="24"/>
          <w:highlight w:val="none"/>
          <w:lang w:val="en-US" w:eastAsia="zh-CN"/>
        </w:rPr>
        <w:t>3061</w:t>
      </w:r>
    </w:p>
    <w:p>
      <w:pPr>
        <w:pStyle w:val="104"/>
        <w:tabs>
          <w:tab w:val="right" w:pos="9639"/>
        </w:tabs>
        <w:spacing w:after="0"/>
        <w:outlineLvl w:val="0"/>
        <w:rPr>
          <w:b/>
          <w:sz w:val="24"/>
          <w:highlight w:val="none"/>
        </w:rPr>
      </w:pPr>
      <w:r>
        <w:rPr>
          <w:rFonts w:hint="eastAsia"/>
          <w:b/>
          <w:sz w:val="24"/>
          <w:highlight w:val="none"/>
        </w:rPr>
        <w:t>Electronic Meeting, Dec 12th - 16th, 2022</w:t>
      </w:r>
      <w:r>
        <w:rPr>
          <w:b/>
          <w:sz w:val="24"/>
          <w:highlight w:val="none"/>
        </w:rPr>
        <w:tab/>
      </w:r>
    </w:p>
    <w:p>
      <w:pPr>
        <w:pStyle w:val="3"/>
        <w:jc w:val="center"/>
        <w:rPr>
          <w:u w:val="single"/>
        </w:rPr>
      </w:pPr>
      <w:r>
        <w:rPr>
          <w:highlight w:val="none"/>
          <w:u w:val="single"/>
        </w:rPr>
        <w:t>Status Rep</w:t>
      </w:r>
      <w:r>
        <w:rPr>
          <w:u w:val="single"/>
        </w:rPr>
        <w:t>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1" w:name="_GoBack"/>
      <w:bookmarkEnd w:id="1"/>
      <w:r>
        <w:rPr>
          <w:rFonts w:hint="eastAsia" w:ascii="Arial" w:hAnsi="Arial" w:cs="Arial"/>
        </w:rPr>
        <w:t>13.4.9</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lang w:val="en-US" w:eastAsia="zh-CN" w:bidi="ar-SA"/>
              </w:rPr>
              <w:t>Dec</w:t>
            </w:r>
            <w:r>
              <w:rPr>
                <w:rFonts w:hint="eastAsia" w:ascii="Arial" w:hAnsi="Arial" w:eastAsia="宋体" w:cs="Arial"/>
                <w:color w:val="00B050"/>
                <w:kern w:val="2"/>
                <w:sz w:val="21"/>
                <w:szCs w:val="22"/>
                <w:lang w:val="en-GB" w:eastAsia="zh-CN" w:bidi="ar-SA"/>
              </w:rPr>
              <w:t xml:space="preserve">. </w:t>
            </w:r>
            <w:r>
              <w:rPr>
                <w:rFonts w:ascii="Arial" w:hAnsi="Arial" w:eastAsia="宋体" w:cs="Arial"/>
                <w:color w:val="00B050"/>
                <w:kern w:val="2"/>
                <w:sz w:val="21"/>
                <w:szCs w:val="22"/>
                <w:lang w:val="en-GB" w:eastAsia="ja-JP" w:bidi="ar-SA"/>
              </w:rPr>
              <w:t>20</w:t>
            </w:r>
            <w:r>
              <w:rPr>
                <w:rFonts w:hint="eastAsia" w:ascii="Arial" w:hAnsi="Arial" w:eastAsia="宋体" w:cs="Arial"/>
                <w:color w:val="00B050"/>
                <w:kern w:val="2"/>
                <w:sz w:val="21"/>
                <w:szCs w:val="22"/>
                <w:lang w:val="en-GB" w:eastAsia="zh-CN" w:bidi="ar-SA"/>
              </w:rPr>
              <w:t>2</w:t>
            </w:r>
            <w:r>
              <w:rPr>
                <w:rFonts w:hint="eastAsia" w:ascii="Arial" w:hAnsi="Arial" w:eastAsia="宋体" w:cs="Arial"/>
                <w:color w:val="00B050"/>
                <w:kern w:val="2"/>
                <w:sz w:val="21"/>
                <w:szCs w:val="22"/>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eastAsia="宋体" w:cs="Arial"/>
                <w:highlight w:val="none"/>
                <w:lang w:val="en-US" w:eastAsia="zh-CN"/>
              </w:rPr>
            </w:pPr>
            <w:r>
              <w:rPr>
                <w:rFonts w:ascii="Arial" w:hAnsi="Arial" w:cs="Arial"/>
                <w:highlight w:val="none"/>
                <w:lang w:eastAsia="ja-JP"/>
              </w:rPr>
              <w:t xml:space="preserve">Testing part: </w:t>
            </w:r>
            <w:r>
              <w:rPr>
                <w:rFonts w:hint="eastAsia" w:ascii="Arial" w:hAnsi="Arial" w:eastAsia="宋体" w:cs="Arial"/>
                <w:color w:val="00B050"/>
                <w:kern w:val="2"/>
                <w:sz w:val="21"/>
                <w:szCs w:val="22"/>
                <w:lang w:val="en-US" w:eastAsia="zh-CN" w:bidi="ar-SA"/>
              </w:rPr>
              <w:t>100</w:t>
            </w:r>
            <w:r>
              <w:rPr>
                <w:rFonts w:hint="default" w:ascii="Arial" w:hAnsi="Arial" w:eastAsia="宋体" w:cs="Arial"/>
                <w:color w:val="00B050"/>
                <w:kern w:val="2"/>
                <w:sz w:val="21"/>
                <w:szCs w:val="22"/>
                <w:lang w:val="en-US" w:eastAsia="ja-JP" w:bidi="ar-SA"/>
              </w:rPr>
              <w:t>%</w:t>
            </w:r>
            <w:r>
              <w:rPr>
                <w:rFonts w:hint="eastAsia" w:ascii="Arial" w:hAnsi="Arial" w:eastAsia="宋体" w:cs="Arial"/>
                <w:color w:val="00B050"/>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rPr>
      </w:pPr>
      <w:r>
        <w:rPr>
          <w:rFonts w:ascii="Arial" w:hAnsi="Arial" w:cs="Arial"/>
        </w:rPr>
        <w:t>St</w:t>
      </w:r>
      <w:r>
        <w:rPr>
          <w:rFonts w:ascii="Arial" w:hAnsi="Arial" w:cs="Arial"/>
          <w:highlight w:val="none"/>
        </w:rPr>
        <w:t>atus after RAN5#</w:t>
      </w:r>
      <w:r>
        <w:rPr>
          <w:rFonts w:hint="eastAsia" w:ascii="Arial" w:hAnsi="Arial" w:cs="Arial" w:eastAsiaTheme="minorEastAsia"/>
          <w:highlight w:val="none"/>
        </w:rPr>
        <w:t>9</w:t>
      </w:r>
      <w:r>
        <w:rPr>
          <w:rFonts w:hint="default" w:ascii="Arial" w:hAnsi="Arial" w:cs="Arial" w:eastAsiaTheme="minorEastAsia"/>
          <w:highlight w:val="none"/>
          <w:lang w:val="en-US" w:eastAsia="zh-CN"/>
        </w:rPr>
        <w:t>7</w:t>
      </w:r>
      <w:r>
        <w:rPr>
          <w:rFonts w:ascii="Arial" w:hAnsi="Arial" w:cs="Arial"/>
          <w:highlight w:val="none"/>
        </w:rPr>
        <w:t xml:space="preserve"> (the details can be found in </w:t>
      </w:r>
      <w:r>
        <w:rPr>
          <w:rFonts w:hint="eastAsia" w:ascii="Arial" w:hAnsi="Arial" w:cs="Arial"/>
          <w:highlight w:val="none"/>
          <w:lang w:eastAsia="ja-JP"/>
        </w:rPr>
        <w:t>R5-226325</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100</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r>
        <w:rPr>
          <w:rFonts w:hint="default" w:ascii="Arial" w:hAnsi="Arial" w:cs="Arial"/>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rPr>
        <w:t>RF</w:t>
      </w:r>
      <w:r>
        <w:rPr>
          <w:rFonts w:hint="eastAsia" w:ascii="Arial" w:hAnsi="Arial" w:cs="Arial" w:eastAsiaTheme="minorEastAsia"/>
          <w:highlight w:val="none"/>
        </w:rPr>
        <w:t xml:space="preserve">, </w:t>
      </w:r>
      <w:r>
        <w:rPr>
          <w:rFonts w:hint="eastAsia" w:ascii="Arial" w:hAnsi="Arial" w:eastAsia="宋体" w:cs="Arial"/>
          <w:highlight w:val="none"/>
          <w:lang w:val="en-US" w:eastAsia="zh-CN"/>
        </w:rPr>
        <w:t>2</w:t>
      </w:r>
      <w:r>
        <w:rPr>
          <w:rFonts w:ascii="Arial" w:hAnsi="Arial" w:cs="Arial"/>
          <w:highlight w:val="none"/>
        </w:rPr>
        <w:t xml:space="preserve"> CR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ascii="Arial" w:hAnsi="Arial" w:cs="Arial"/>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R5-226325</w:t>
      </w:r>
      <w:r>
        <w:rPr>
          <w:rFonts w:hint="eastAsia" w:ascii="Arial" w:hAnsi="Arial" w:eastAsia="等线" w:cs="Arial"/>
          <w:highlight w:val="none"/>
          <w:lang w:val="en-US" w:eastAsia="zh-CN"/>
        </w:rPr>
        <w:t xml:space="preserve">, </w:t>
      </w:r>
      <w:r>
        <w:rPr>
          <w:rFonts w:hint="eastAsia" w:ascii="Arial" w:hAnsi="Arial" w:eastAsia="等线" w:cs="Arial"/>
          <w:highlight w:val="none"/>
        </w:rPr>
        <w:t>WP Rel-17 PC1.5 n79 after RAN5#97</w:t>
      </w:r>
      <w:r>
        <w:rPr>
          <w:rFonts w:hint="eastAsia" w:ascii="Arial" w:hAnsi="Arial" w:eastAsia="等线" w:cs="Arial"/>
          <w:highlight w:val="none"/>
          <w:lang w:val="en-US" w:eastAsia="zh-CN"/>
        </w:rPr>
        <w:t>, CMCC</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eastAsia="宋体" w:cs="Arial"/>
          <w:b/>
          <w:highlight w:val="none"/>
        </w:rPr>
        <w:t>8</w:t>
      </w:r>
      <w:r>
        <w:rPr>
          <w:rFonts w:ascii="Arial" w:hAnsi="Arial" w:cs="Arial"/>
          <w:b/>
          <w:highlight w:val="none"/>
        </w:rPr>
        <w:t>.5</w:t>
      </w:r>
      <w:r>
        <w:rPr>
          <w:rFonts w:hint="eastAsia" w:ascii="Arial" w:hAnsi="Arial" w:eastAsia="宋体" w:cs="Arial"/>
          <w:b/>
          <w:highlight w:val="none"/>
          <w:lang w:val="en-US"/>
        </w:rPr>
        <w:t>2</w:t>
      </w:r>
      <w:r>
        <w:rPr>
          <w:rFonts w:hint="default" w:ascii="Arial" w:hAnsi="Arial" w:eastAsia="宋体" w:cs="Arial"/>
          <w:b/>
          <w:highlight w:val="none"/>
          <w:lang w:val="en-US" w:eastAsia="zh-CN"/>
        </w:rPr>
        <w:t>1</w:t>
      </w:r>
      <w:r>
        <w:rPr>
          <w:rFonts w:ascii="Arial" w:hAnsi="Arial" w:cs="Arial"/>
          <w:b/>
          <w:highlight w:val="none"/>
        </w:rPr>
        <w:t>-</w:t>
      </w:r>
      <w:r>
        <w:rPr>
          <w:rFonts w:hint="eastAsia" w:ascii="Arial" w:hAnsi="Arial" w:eastAsia="宋体" w:cs="Arial"/>
          <w:b/>
          <w:highlight w:val="none"/>
          <w:lang w:val="en-US"/>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R5-227324</w:t>
      </w:r>
      <w:r>
        <w:rPr>
          <w:rFonts w:ascii="Arial" w:hAnsi="Arial" w:cs="Arial"/>
          <w:highlight w:val="none"/>
          <w:lang w:eastAsia="ja-JP"/>
        </w:rPr>
        <w:tab/>
      </w:r>
      <w:r>
        <w:rPr>
          <w:rFonts w:hint="eastAsia" w:ascii="Arial" w:hAnsi="Arial" w:cs="Arial"/>
          <w:highlight w:val="none"/>
          <w:lang w:eastAsia="ja-JP"/>
        </w:rPr>
        <w:t>Updates to annex I ModifiedMPR-Behavior for band n79</w:t>
      </w:r>
      <w:r>
        <w:rPr>
          <w:rFonts w:ascii="Arial" w:hAnsi="Arial" w:cs="Arial"/>
          <w:highlight w:val="none"/>
          <w:lang w:eastAsia="ja-JP"/>
        </w:rPr>
        <w:t xml:space="preserve">, </w:t>
      </w:r>
      <w:r>
        <w:rPr>
          <w:rFonts w:hint="eastAsia" w:ascii="Arial" w:hAnsi="Arial" w:cs="Arial"/>
          <w:highlight w:val="none"/>
          <w:lang w:eastAsia="ja-JP"/>
        </w:rPr>
        <w:t>Keysight technologies UK Ltd</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R5-228055</w:t>
      </w:r>
      <w:r>
        <w:rPr>
          <w:rFonts w:hint="eastAsia" w:ascii="Arial" w:hAnsi="Arial" w:eastAsia="宋体" w:cs="Arial"/>
          <w:highlight w:val="none"/>
          <w:lang w:val="en-US" w:eastAsia="zh-CN"/>
        </w:rPr>
        <w:tab/>
      </w:r>
      <w:r>
        <w:rPr>
          <w:rFonts w:hint="eastAsia" w:ascii="Arial" w:hAnsi="Arial" w:cs="Arial"/>
          <w:highlight w:val="none"/>
          <w:lang w:eastAsia="ja-JP"/>
        </w:rPr>
        <w:t>Configured transmitted power for Tx Diversity, Google</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Cs/>
          <w:highlight w:val="yellow"/>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045185"/>
    <w:multiLevelType w:val="singleLevel"/>
    <w:tmpl w:val="1A045185"/>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1277FD4"/>
    <w:rsid w:val="02F66AE2"/>
    <w:rsid w:val="03993B5F"/>
    <w:rsid w:val="03C574E9"/>
    <w:rsid w:val="04EB2113"/>
    <w:rsid w:val="04ED10C2"/>
    <w:rsid w:val="073E78C5"/>
    <w:rsid w:val="0A835B98"/>
    <w:rsid w:val="0C323CBA"/>
    <w:rsid w:val="0D576F1D"/>
    <w:rsid w:val="0E496412"/>
    <w:rsid w:val="0F49038C"/>
    <w:rsid w:val="10753B2A"/>
    <w:rsid w:val="10B9696A"/>
    <w:rsid w:val="139A71BC"/>
    <w:rsid w:val="14785989"/>
    <w:rsid w:val="160F311C"/>
    <w:rsid w:val="19351F73"/>
    <w:rsid w:val="1D484F0E"/>
    <w:rsid w:val="1FCD2F08"/>
    <w:rsid w:val="270A14EF"/>
    <w:rsid w:val="27452B8C"/>
    <w:rsid w:val="29D830C3"/>
    <w:rsid w:val="2BDB3982"/>
    <w:rsid w:val="2E5B5FFD"/>
    <w:rsid w:val="31497072"/>
    <w:rsid w:val="316F7BD4"/>
    <w:rsid w:val="32B6433D"/>
    <w:rsid w:val="34C572C6"/>
    <w:rsid w:val="351F0F11"/>
    <w:rsid w:val="35B50D13"/>
    <w:rsid w:val="35CE0055"/>
    <w:rsid w:val="3666327C"/>
    <w:rsid w:val="39BD4D24"/>
    <w:rsid w:val="3A097642"/>
    <w:rsid w:val="3A7B10C3"/>
    <w:rsid w:val="3AA845FA"/>
    <w:rsid w:val="3B421E74"/>
    <w:rsid w:val="3E996A4E"/>
    <w:rsid w:val="3EFC4423"/>
    <w:rsid w:val="3F461189"/>
    <w:rsid w:val="419209D4"/>
    <w:rsid w:val="43F15D96"/>
    <w:rsid w:val="44AE57EF"/>
    <w:rsid w:val="4542296B"/>
    <w:rsid w:val="47886C9A"/>
    <w:rsid w:val="48506B94"/>
    <w:rsid w:val="4DA06F7D"/>
    <w:rsid w:val="512278B3"/>
    <w:rsid w:val="51FB635C"/>
    <w:rsid w:val="54F13954"/>
    <w:rsid w:val="563635EF"/>
    <w:rsid w:val="564E5D25"/>
    <w:rsid w:val="56931BEC"/>
    <w:rsid w:val="57CF5DE7"/>
    <w:rsid w:val="58024ACB"/>
    <w:rsid w:val="58EE670A"/>
    <w:rsid w:val="5A466BC8"/>
    <w:rsid w:val="5CFE5A8D"/>
    <w:rsid w:val="5DA87A98"/>
    <w:rsid w:val="5F740C89"/>
    <w:rsid w:val="601A1055"/>
    <w:rsid w:val="617F4901"/>
    <w:rsid w:val="67473D45"/>
    <w:rsid w:val="69285720"/>
    <w:rsid w:val="6A8A758B"/>
    <w:rsid w:val="6B0A7315"/>
    <w:rsid w:val="706008AE"/>
    <w:rsid w:val="716D30CB"/>
    <w:rsid w:val="73D13601"/>
    <w:rsid w:val="73DA34E6"/>
    <w:rsid w:val="79036FC6"/>
    <w:rsid w:val="791F74F6"/>
    <w:rsid w:val="79A32CFA"/>
    <w:rsid w:val="79B20A96"/>
    <w:rsid w:val="79C93583"/>
    <w:rsid w:val="79D77A50"/>
    <w:rsid w:val="79E91CF9"/>
    <w:rsid w:val="79F27685"/>
    <w:rsid w:val="7AFF568B"/>
    <w:rsid w:val="7B3548A4"/>
    <w:rsid w:val="7BDC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4</TotalTime>
  <ScaleCrop>false</ScaleCrop>
  <LinksUpToDate>false</LinksUpToDate>
  <CharactersWithSpaces>4708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Luyang Zhao-CMCC</cp:lastModifiedBy>
  <dcterms:modified xsi:type="dcterms:W3CDTF">2022-12-02T06:20:48Z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A401F953861F46259D4B1494740B8472</vt:lpwstr>
  </property>
</Properties>
</file>